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5B" w:rsidRPr="00957EB5" w:rsidRDefault="00290D5B" w:rsidP="00290D5B">
      <w:pPr>
        <w:ind w:left="1416" w:hanging="1236"/>
        <w:jc w:val="center"/>
        <w:rPr>
          <w:b/>
          <w:color w:val="000000"/>
        </w:rPr>
      </w:pPr>
      <w:r w:rsidRPr="00957EB5">
        <w:rPr>
          <w:b/>
          <w:color w:val="000000"/>
        </w:rPr>
        <w:t xml:space="preserve">АДМИНИСТРАЦИЯ </w:t>
      </w:r>
    </w:p>
    <w:p w:rsidR="00290D5B" w:rsidRPr="00957EB5" w:rsidRDefault="00290D5B" w:rsidP="00290D5B">
      <w:pPr>
        <w:ind w:left="1416" w:hanging="1236"/>
        <w:jc w:val="center"/>
        <w:rPr>
          <w:b/>
          <w:color w:val="000000"/>
        </w:rPr>
      </w:pPr>
      <w:r w:rsidRPr="00957EB5">
        <w:rPr>
          <w:b/>
          <w:color w:val="000000"/>
        </w:rPr>
        <w:t xml:space="preserve"> НОВОНИКОЛАЕВСКОГО СЕЛЬСОВЕТА КУПИНСКОГО РАЙОНА</w:t>
      </w:r>
    </w:p>
    <w:p w:rsidR="00290D5B" w:rsidRPr="00957EB5" w:rsidRDefault="00290D5B" w:rsidP="00290D5B">
      <w:pPr>
        <w:ind w:left="1416" w:hanging="1236"/>
        <w:jc w:val="center"/>
        <w:rPr>
          <w:b/>
          <w:color w:val="000000"/>
        </w:rPr>
      </w:pPr>
      <w:r w:rsidRPr="00957EB5">
        <w:rPr>
          <w:b/>
          <w:color w:val="000000"/>
        </w:rPr>
        <w:t>НОВОСИБИРСКОЙ ОБЛАСТИ</w:t>
      </w:r>
    </w:p>
    <w:p w:rsidR="00290D5B" w:rsidRPr="00957EB5" w:rsidRDefault="00290D5B" w:rsidP="00290D5B">
      <w:pPr>
        <w:ind w:left="1416" w:hanging="1236"/>
        <w:jc w:val="center"/>
        <w:rPr>
          <w:color w:val="000000"/>
        </w:rPr>
      </w:pPr>
    </w:p>
    <w:p w:rsidR="00290D5B" w:rsidRPr="00957EB5" w:rsidRDefault="00290D5B" w:rsidP="00290D5B">
      <w:pPr>
        <w:ind w:left="1416" w:hanging="1236"/>
        <w:jc w:val="center"/>
        <w:rPr>
          <w:color w:val="000000"/>
        </w:rPr>
      </w:pPr>
    </w:p>
    <w:p w:rsidR="00290D5B" w:rsidRPr="00957EB5" w:rsidRDefault="00290D5B" w:rsidP="00290D5B">
      <w:pPr>
        <w:ind w:left="1416" w:hanging="1236"/>
        <w:jc w:val="center"/>
        <w:rPr>
          <w:b/>
          <w:color w:val="000000"/>
        </w:rPr>
      </w:pPr>
      <w:r w:rsidRPr="00957EB5">
        <w:rPr>
          <w:b/>
          <w:color w:val="000000"/>
        </w:rPr>
        <w:t>ПОСТАНОВЛЕНИЕ</w:t>
      </w:r>
    </w:p>
    <w:p w:rsidR="00290D5B" w:rsidRPr="00957EB5" w:rsidRDefault="00290D5B" w:rsidP="00290D5B">
      <w:pPr>
        <w:rPr>
          <w:color w:val="000000"/>
        </w:rPr>
      </w:pPr>
    </w:p>
    <w:p w:rsidR="00290D5B" w:rsidRPr="00957EB5" w:rsidRDefault="00290D5B" w:rsidP="00290D5B">
      <w:pPr>
        <w:rPr>
          <w:color w:val="000000"/>
        </w:rPr>
      </w:pPr>
      <w:r>
        <w:rPr>
          <w:color w:val="000000"/>
        </w:rPr>
        <w:t>25.04.2024</w:t>
      </w:r>
      <w:r w:rsidRPr="00957EB5">
        <w:rPr>
          <w:color w:val="000000"/>
        </w:rPr>
        <w:t xml:space="preserve">г                                                                                                      </w:t>
      </w:r>
      <w:r w:rsidR="0021496B">
        <w:rPr>
          <w:color w:val="000000"/>
        </w:rPr>
        <w:t xml:space="preserve">                   № 20</w:t>
      </w:r>
    </w:p>
    <w:p w:rsidR="00290D5B" w:rsidRPr="00957EB5" w:rsidRDefault="00290D5B" w:rsidP="00290D5B">
      <w:pPr>
        <w:rPr>
          <w:b/>
          <w:bCs/>
          <w:color w:val="000000"/>
        </w:rPr>
      </w:pPr>
    </w:p>
    <w:p w:rsidR="0021496B" w:rsidRPr="00C86E36" w:rsidRDefault="0021496B" w:rsidP="0021496B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2349BC">
        <w:rPr>
          <w:b/>
          <w:bCs/>
          <w:color w:val="000000"/>
          <w:sz w:val="28"/>
          <w:szCs w:val="28"/>
        </w:rPr>
        <w:t>Об утверждении Положения о порядке использования бюджетных ассигнований резервного фонда администрации </w:t>
      </w:r>
      <w:r>
        <w:rPr>
          <w:b/>
          <w:bCs/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b/>
          <w:bCs/>
          <w:color w:val="000000"/>
          <w:sz w:val="28"/>
          <w:szCs w:val="28"/>
        </w:rPr>
        <w:t>Купинского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="00F3155E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21496B" w:rsidRPr="00C86E36" w:rsidRDefault="0021496B" w:rsidP="0021496B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1496B" w:rsidRPr="002349BC" w:rsidRDefault="0021496B" w:rsidP="0021496B">
      <w:pPr>
        <w:ind w:firstLine="567"/>
        <w:jc w:val="center"/>
        <w:rPr>
          <w:color w:val="000000"/>
          <w:sz w:val="28"/>
          <w:szCs w:val="28"/>
        </w:rPr>
      </w:pPr>
    </w:p>
    <w:p w:rsidR="0021496B" w:rsidRPr="002349BC" w:rsidRDefault="0021496B" w:rsidP="0021496B">
      <w:pPr>
        <w:ind w:left="567" w:firstLine="567"/>
        <w:jc w:val="both"/>
        <w:rPr>
          <w:color w:val="000000"/>
          <w:sz w:val="28"/>
          <w:szCs w:val="28"/>
        </w:rPr>
      </w:pPr>
      <w:r w:rsidRPr="002349BC">
        <w:rPr>
          <w:color w:val="000000"/>
          <w:sz w:val="28"/>
          <w:szCs w:val="28"/>
        </w:rPr>
        <w:t> </w:t>
      </w:r>
    </w:p>
    <w:p w:rsidR="0021496B" w:rsidRPr="002349BC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со статьей 81 Бюджетного кодекса Российской Федерации,</w:t>
      </w:r>
      <w:r w:rsidRPr="002349BC">
        <w:rPr>
          <w:color w:val="000000"/>
          <w:sz w:val="28"/>
          <w:szCs w:val="28"/>
        </w:rPr>
        <w:t xml:space="preserve"> администрация</w:t>
      </w:r>
      <w:r>
        <w:rPr>
          <w:color w:val="000000"/>
          <w:sz w:val="28"/>
          <w:szCs w:val="28"/>
        </w:rPr>
        <w:t xml:space="preserve"> 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2349BC">
        <w:rPr>
          <w:color w:val="000000"/>
          <w:sz w:val="28"/>
          <w:szCs w:val="28"/>
        </w:rPr>
        <w:t> Новосибирской области </w:t>
      </w:r>
    </w:p>
    <w:p w:rsidR="0021496B" w:rsidRPr="002349BC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 w:rsidRPr="002349BC">
        <w:rPr>
          <w:color w:val="000000"/>
          <w:sz w:val="28"/>
          <w:szCs w:val="28"/>
        </w:rPr>
        <w:t>ПОСТАНОВЛЯЕТ:</w:t>
      </w:r>
    </w:p>
    <w:p w:rsidR="0021496B" w:rsidRPr="00C86E36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 w:rsidRPr="002349BC">
        <w:rPr>
          <w:color w:val="000000"/>
          <w:sz w:val="28"/>
          <w:szCs w:val="28"/>
        </w:rPr>
        <w:t xml:space="preserve">1.Утвердить Положение о порядке </w:t>
      </w:r>
      <w:proofErr w:type="gramStart"/>
      <w:r w:rsidRPr="002349BC">
        <w:rPr>
          <w:color w:val="000000"/>
          <w:sz w:val="28"/>
          <w:szCs w:val="28"/>
        </w:rPr>
        <w:t>использования бюджетных ассигнований резервного фонда администрации</w:t>
      </w:r>
      <w:r w:rsidRPr="00C86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Новониколаевского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2349BC">
        <w:rPr>
          <w:color w:val="000000"/>
          <w:sz w:val="28"/>
          <w:szCs w:val="28"/>
        </w:rPr>
        <w:t xml:space="preserve"> Новосибирской области согласно приложению</w:t>
      </w:r>
      <w:r>
        <w:rPr>
          <w:color w:val="000000"/>
          <w:sz w:val="28"/>
          <w:szCs w:val="28"/>
        </w:rPr>
        <w:t>,</w:t>
      </w:r>
      <w:r w:rsidRPr="002349BC">
        <w:rPr>
          <w:color w:val="000000"/>
          <w:sz w:val="28"/>
          <w:szCs w:val="28"/>
        </w:rPr>
        <w:t xml:space="preserve"> к настоящему постановлению.</w:t>
      </w:r>
    </w:p>
    <w:p w:rsidR="00290D5B" w:rsidRPr="003C530A" w:rsidRDefault="00290D5B" w:rsidP="00290D5B">
      <w:pPr>
        <w:spacing w:line="276" w:lineRule="auto"/>
        <w:rPr>
          <w:b/>
          <w:bCs/>
          <w:color w:val="000000"/>
          <w:sz w:val="28"/>
          <w:szCs w:val="28"/>
        </w:rPr>
      </w:pPr>
      <w:r w:rsidRPr="003C530A">
        <w:rPr>
          <w:color w:val="000000"/>
          <w:sz w:val="28"/>
          <w:szCs w:val="28"/>
        </w:rPr>
        <w:t xml:space="preserve">          2. Опубликовать настоящее постановление в газете «Новониколаевский вестник» и на официальном сайте Новониколаевского сельсовета в сети «Интернет».</w:t>
      </w:r>
      <w:r w:rsidRPr="003C530A">
        <w:rPr>
          <w:color w:val="000000"/>
          <w:sz w:val="28"/>
          <w:szCs w:val="28"/>
        </w:rPr>
        <w:br/>
        <w:t xml:space="preserve">          3. </w:t>
      </w:r>
      <w:proofErr w:type="gramStart"/>
      <w:r w:rsidRPr="003C530A">
        <w:rPr>
          <w:color w:val="000000"/>
          <w:sz w:val="28"/>
          <w:szCs w:val="28"/>
        </w:rPr>
        <w:t>Контроль за</w:t>
      </w:r>
      <w:proofErr w:type="gramEnd"/>
      <w:r w:rsidRPr="003C530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90D5B" w:rsidRPr="003C530A" w:rsidRDefault="00290D5B" w:rsidP="00290D5B">
      <w:pPr>
        <w:rPr>
          <w:color w:val="000000"/>
          <w:sz w:val="28"/>
          <w:szCs w:val="28"/>
        </w:rPr>
      </w:pPr>
    </w:p>
    <w:p w:rsidR="00290D5B" w:rsidRPr="003C530A" w:rsidRDefault="00290D5B" w:rsidP="00290D5B">
      <w:pPr>
        <w:rPr>
          <w:color w:val="000000"/>
          <w:sz w:val="28"/>
          <w:szCs w:val="28"/>
        </w:rPr>
      </w:pPr>
    </w:p>
    <w:p w:rsidR="00290D5B" w:rsidRPr="003C530A" w:rsidRDefault="00290D5B" w:rsidP="00290D5B">
      <w:pPr>
        <w:rPr>
          <w:color w:val="000000"/>
          <w:sz w:val="28"/>
          <w:szCs w:val="28"/>
        </w:rPr>
      </w:pPr>
    </w:p>
    <w:p w:rsidR="00290D5B" w:rsidRPr="003C530A" w:rsidRDefault="00290D5B" w:rsidP="00290D5B">
      <w:pPr>
        <w:rPr>
          <w:color w:val="000000"/>
          <w:sz w:val="28"/>
          <w:szCs w:val="28"/>
        </w:rPr>
      </w:pPr>
      <w:r w:rsidRPr="003C530A">
        <w:rPr>
          <w:color w:val="000000"/>
          <w:sz w:val="28"/>
          <w:szCs w:val="28"/>
        </w:rPr>
        <w:t>Глава Новониколаевского сельсовета                                              Н.В. Леонова</w:t>
      </w:r>
    </w:p>
    <w:p w:rsidR="00E86CFD" w:rsidRPr="00290D5B" w:rsidRDefault="00E86CFD" w:rsidP="00290D5B">
      <w:pPr>
        <w:ind w:firstLine="709"/>
        <w:jc w:val="both"/>
        <w:rPr>
          <w:sz w:val="28"/>
          <w:szCs w:val="28"/>
        </w:rPr>
      </w:pPr>
    </w:p>
    <w:p w:rsidR="00E86CFD" w:rsidRDefault="00E86CFD" w:rsidP="00E86CFD">
      <w:pPr>
        <w:jc w:val="both"/>
        <w:rPr>
          <w:sz w:val="20"/>
          <w:szCs w:val="20"/>
        </w:rPr>
        <w:sectPr w:rsidR="00E86CFD" w:rsidSect="00620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496B" w:rsidRPr="00252345" w:rsidRDefault="0021496B" w:rsidP="0021496B">
      <w:pPr>
        <w:ind w:firstLine="567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Pr="00252345">
        <w:rPr>
          <w:color w:val="000000"/>
        </w:rPr>
        <w:t>к постановлению</w:t>
      </w:r>
      <w:r>
        <w:rPr>
          <w:color w:val="000000"/>
        </w:rPr>
        <w:t xml:space="preserve"> №20 от 25.04.2024г</w:t>
      </w:r>
    </w:p>
    <w:p w:rsidR="0021496B" w:rsidRPr="00A74B1B" w:rsidRDefault="0021496B" w:rsidP="0021496B">
      <w:pPr>
        <w:ind w:firstLine="567"/>
        <w:jc w:val="center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 </w:t>
      </w:r>
    </w:p>
    <w:p w:rsidR="0021496B" w:rsidRPr="00A74B1B" w:rsidRDefault="0021496B" w:rsidP="0021496B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A74B1B">
        <w:rPr>
          <w:b/>
          <w:bCs/>
          <w:color w:val="000000"/>
          <w:sz w:val="28"/>
          <w:szCs w:val="28"/>
        </w:rPr>
        <w:t>ПОЛОЖЕНИЕ</w:t>
      </w:r>
    </w:p>
    <w:p w:rsidR="0021496B" w:rsidRPr="00A74B1B" w:rsidRDefault="0021496B" w:rsidP="0021496B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A74B1B">
        <w:rPr>
          <w:b/>
          <w:bCs/>
          <w:color w:val="000000"/>
          <w:sz w:val="28"/>
          <w:szCs w:val="28"/>
        </w:rPr>
        <w:t xml:space="preserve">о порядке </w:t>
      </w:r>
      <w:proofErr w:type="gramStart"/>
      <w:r w:rsidRPr="00A74B1B">
        <w:rPr>
          <w:b/>
          <w:bCs/>
          <w:color w:val="000000"/>
          <w:sz w:val="28"/>
          <w:szCs w:val="28"/>
        </w:rPr>
        <w:t>использования бюджетных ассигнований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A74B1B">
        <w:rPr>
          <w:b/>
          <w:bCs/>
          <w:color w:val="000000"/>
          <w:sz w:val="28"/>
          <w:szCs w:val="28"/>
        </w:rPr>
        <w:t xml:space="preserve">резервного фонда администрации </w:t>
      </w:r>
      <w:r>
        <w:rPr>
          <w:b/>
          <w:bCs/>
          <w:color w:val="000000"/>
          <w:sz w:val="28"/>
          <w:szCs w:val="28"/>
        </w:rPr>
        <w:t>Новониколаевского сельсовета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Купинского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A74B1B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21496B" w:rsidRPr="00A74B1B" w:rsidRDefault="0021496B" w:rsidP="0021496B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A74B1B">
        <w:rPr>
          <w:b/>
          <w:bCs/>
          <w:color w:val="000000"/>
          <w:sz w:val="28"/>
          <w:szCs w:val="28"/>
        </w:rPr>
        <w:t> </w:t>
      </w:r>
    </w:p>
    <w:p w:rsidR="0021496B" w:rsidRPr="00A74B1B" w:rsidRDefault="0021496B" w:rsidP="0021496B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4C6837">
        <w:rPr>
          <w:b/>
          <w:bCs/>
          <w:color w:val="000000"/>
          <w:sz w:val="28"/>
          <w:szCs w:val="28"/>
        </w:rPr>
        <w:t>1. Общие положения</w:t>
      </w:r>
    </w:p>
    <w:p w:rsidR="0021496B" w:rsidRPr="00A74B1B" w:rsidRDefault="0021496B" w:rsidP="0021496B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 </w:t>
      </w:r>
    </w:p>
    <w:p w:rsidR="0021496B" w:rsidRDefault="0021496B" w:rsidP="002149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1.1 Настоящее положение разработано в соответствии со статьей 81</w:t>
      </w:r>
      <w:r w:rsidRPr="004C68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Бюджетного кодекса</w:t>
      </w:r>
      <w:r w:rsidRPr="00A74B1B">
        <w:rPr>
          <w:color w:val="000000"/>
          <w:sz w:val="28"/>
          <w:szCs w:val="28"/>
        </w:rPr>
        <w:t xml:space="preserve"> Российской Федерации и устанавливает порядок </w:t>
      </w:r>
      <w:proofErr w:type="gramStart"/>
      <w:r w:rsidRPr="00A74B1B">
        <w:rPr>
          <w:color w:val="000000"/>
          <w:sz w:val="28"/>
          <w:szCs w:val="28"/>
        </w:rPr>
        <w:t xml:space="preserve">использования бюджетных ассигнований резервного фонда администрации </w:t>
      </w:r>
      <w:r>
        <w:rPr>
          <w:color w:val="000000"/>
          <w:sz w:val="28"/>
          <w:szCs w:val="28"/>
        </w:rPr>
        <w:t>Новониколаевского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</w:t>
      </w:r>
    </w:p>
    <w:p w:rsidR="0021496B" w:rsidRPr="00A74B1B" w:rsidRDefault="0021496B" w:rsidP="0021496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(далее</w:t>
      </w:r>
      <w:r w:rsidRPr="00A74B1B">
        <w:rPr>
          <w:color w:val="000000"/>
          <w:sz w:val="28"/>
          <w:szCs w:val="28"/>
        </w:rPr>
        <w:t xml:space="preserve"> по текст</w:t>
      </w:r>
      <w:proofErr w:type="gramStart"/>
      <w:r w:rsidRPr="00A74B1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резервный фонд администрации Октябрьского сельсовета).</w:t>
      </w:r>
    </w:p>
    <w:p w:rsidR="0021496B" w:rsidRPr="00A74B1B" w:rsidRDefault="0021496B" w:rsidP="002149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 xml:space="preserve">1.2. Размер резервного фонда администрации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 устанавливается решением о бюджете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> 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 на соответствующий год и в соответствии с бюджетным законодательство</w:t>
      </w:r>
      <w:r>
        <w:rPr>
          <w:color w:val="000000"/>
          <w:sz w:val="28"/>
          <w:szCs w:val="28"/>
        </w:rPr>
        <w:t xml:space="preserve">м не может превышать 3 процента, </w:t>
      </w:r>
      <w:r w:rsidRPr="00A74B1B">
        <w:rPr>
          <w:color w:val="000000"/>
          <w:sz w:val="28"/>
          <w:szCs w:val="28"/>
        </w:rPr>
        <w:t>утвержденного указанным решением общего объема расходов.</w:t>
      </w:r>
    </w:p>
    <w:p w:rsidR="0021496B" w:rsidRPr="00A74B1B" w:rsidRDefault="0021496B" w:rsidP="002149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 xml:space="preserve">1.3. Средства резервного фонда администрации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 расходуются на финансовое обеспечение непредвиденных расходов, в том числе </w:t>
      </w:r>
      <w:proofErr w:type="gramStart"/>
      <w:r w:rsidRPr="00A74B1B">
        <w:rPr>
          <w:color w:val="000000"/>
          <w:sz w:val="28"/>
          <w:szCs w:val="28"/>
        </w:rPr>
        <w:t>на</w:t>
      </w:r>
      <w:proofErr w:type="gramEnd"/>
      <w:r w:rsidRPr="00A74B1B">
        <w:rPr>
          <w:color w:val="000000"/>
          <w:sz w:val="28"/>
          <w:szCs w:val="28"/>
        </w:rPr>
        <w:t>:</w:t>
      </w:r>
    </w:p>
    <w:p w:rsidR="0021496B" w:rsidRPr="00A74B1B" w:rsidRDefault="0021496B" w:rsidP="002149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- проведение аварийно-спасательных и восстановительных работ;</w:t>
      </w:r>
    </w:p>
    <w:p w:rsidR="0021496B" w:rsidRPr="00A74B1B" w:rsidRDefault="0021496B" w:rsidP="002149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- мероприятия, связанные с предупреждением и ликвидацией последствий стихийных бедствий и других чрезвычайных ситуаций, имевших место в текущем финансовом году;</w:t>
      </w:r>
    </w:p>
    <w:p w:rsidR="0021496B" w:rsidRPr="00A74B1B" w:rsidRDefault="0021496B" w:rsidP="002149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 xml:space="preserve">- мероприятия, связанные с предупреждением и ликвидацией возникших чрезвычайных ситуаций локального характера, приводящих к нарушению жизнедеятельности жителей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области;</w:t>
      </w:r>
    </w:p>
    <w:p w:rsidR="0021496B" w:rsidRPr="00A74B1B" w:rsidRDefault="0021496B" w:rsidP="002149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 xml:space="preserve">- восстановление инженерных сетей, жилищного фонда и другой инфраструктуры жилищно-коммунального хозяйства и социально-культурной сферы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области;</w:t>
      </w:r>
    </w:p>
    <w:p w:rsidR="0021496B" w:rsidRPr="00A74B1B" w:rsidRDefault="0021496B" w:rsidP="002149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 xml:space="preserve">- обеспечение функционирования предприятий и учреждений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   в условиях чрезвычайных ситуаций;</w:t>
      </w:r>
    </w:p>
    <w:p w:rsidR="0021496B" w:rsidRPr="00A74B1B" w:rsidRDefault="0021496B" w:rsidP="0021496B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предоставление </w:t>
      </w:r>
      <w:r w:rsidRPr="00A74B1B">
        <w:rPr>
          <w:color w:val="000000"/>
          <w:sz w:val="28"/>
          <w:szCs w:val="28"/>
        </w:rPr>
        <w:t>межбюдж</w:t>
      </w:r>
      <w:r>
        <w:rPr>
          <w:color w:val="000000"/>
          <w:sz w:val="28"/>
          <w:szCs w:val="28"/>
        </w:rPr>
        <w:t xml:space="preserve">етных трансфертов  бюджету муниципального образования  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 w:rsidRPr="00A74B1B">
        <w:rPr>
          <w:color w:val="000000"/>
          <w:sz w:val="28"/>
          <w:szCs w:val="28"/>
        </w:rPr>
        <w:t xml:space="preserve"> района Новосибирской области на мероприятия, связанные с предупреждением и ликвидацией последствий стихийных бедствий и других чрезвычайных ситуаций; </w:t>
      </w:r>
    </w:p>
    <w:p w:rsidR="0021496B" w:rsidRPr="00A74B1B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lastRenderedPageBreak/>
        <w:t xml:space="preserve">-  другие непредвиденные расходы, относящиеся к полномочиям органов местного самоуправления муниципального образования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области.</w:t>
      </w:r>
    </w:p>
    <w:p w:rsidR="0021496B" w:rsidRPr="00A74B1B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 </w:t>
      </w:r>
    </w:p>
    <w:p w:rsidR="0021496B" w:rsidRPr="00A74B1B" w:rsidRDefault="0021496B" w:rsidP="0021496B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A74B1B">
        <w:rPr>
          <w:b/>
          <w:bCs/>
          <w:color w:val="000000"/>
          <w:sz w:val="28"/>
          <w:szCs w:val="28"/>
        </w:rPr>
        <w:t>2. Порядок выделения бюджетных ассигнований</w:t>
      </w:r>
    </w:p>
    <w:p w:rsidR="0021496B" w:rsidRPr="00A74B1B" w:rsidRDefault="0021496B" w:rsidP="0021496B">
      <w:pPr>
        <w:ind w:firstLine="567"/>
        <w:jc w:val="center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 </w:t>
      </w:r>
    </w:p>
    <w:p w:rsidR="0021496B" w:rsidRPr="00A74B1B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Выделение средств из Резервного</w:t>
      </w:r>
      <w:r w:rsidRPr="00A74B1B">
        <w:rPr>
          <w:color w:val="000000"/>
          <w:sz w:val="28"/>
          <w:szCs w:val="28"/>
        </w:rPr>
        <w:t xml:space="preserve"> фонда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 администрации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 осуществляются  на </w:t>
      </w:r>
      <w:r w:rsidRPr="00A74B1B">
        <w:rPr>
          <w:color w:val="000000"/>
          <w:sz w:val="28"/>
          <w:szCs w:val="28"/>
        </w:rPr>
        <w:t>цели указанные в пункте 1.3 настоящего Положения.</w:t>
      </w:r>
    </w:p>
    <w:p w:rsidR="0021496B" w:rsidRPr="00A74B1B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2.2. Средства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 из 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Резервного фонда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 администрации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</w:t>
      </w:r>
      <w:r>
        <w:rPr>
          <w:color w:val="000000"/>
          <w:sz w:val="28"/>
          <w:szCs w:val="28"/>
        </w:rPr>
        <w:t xml:space="preserve"> области </w:t>
      </w:r>
      <w:r w:rsidRPr="00A74B1B">
        <w:rPr>
          <w:color w:val="000000"/>
          <w:sz w:val="28"/>
          <w:szCs w:val="28"/>
        </w:rPr>
        <w:t> используются только по целевому назначению.</w:t>
      </w:r>
    </w:p>
    <w:p w:rsidR="0021496B" w:rsidRPr="00A74B1B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2.3. Обраще</w:t>
      </w:r>
      <w:r>
        <w:rPr>
          <w:color w:val="000000"/>
          <w:sz w:val="28"/>
          <w:szCs w:val="28"/>
        </w:rPr>
        <w:t xml:space="preserve">ния  о </w:t>
      </w:r>
      <w:r w:rsidRPr="00A74B1B">
        <w:rPr>
          <w:color w:val="000000"/>
          <w:sz w:val="28"/>
          <w:szCs w:val="28"/>
        </w:rPr>
        <w:t>выделении средств из резер</w:t>
      </w:r>
      <w:r>
        <w:rPr>
          <w:color w:val="000000"/>
          <w:sz w:val="28"/>
          <w:szCs w:val="28"/>
        </w:rPr>
        <w:t xml:space="preserve">вного фонда администрации </w:t>
      </w:r>
      <w:r w:rsidRPr="00A74B1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направляются</w:t>
      </w:r>
      <w:r w:rsidRPr="00A74B1B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изациями и должностными лицами </w:t>
      </w:r>
      <w:bookmarkStart w:id="0" w:name="_GoBack"/>
      <w:bookmarkEnd w:id="0"/>
      <w:r w:rsidRPr="00A74B1B">
        <w:rPr>
          <w:color w:val="000000"/>
          <w:sz w:val="28"/>
          <w:szCs w:val="28"/>
        </w:rPr>
        <w:t xml:space="preserve">в администрацию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 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 рассматриваются на заседании комиссии по предупреждению и ликвидации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 чрезвычайных ситуаций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 и обеспечению пожарной безопасности администрации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  (далее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- Комиссия по ЧС и ПБ).</w:t>
      </w:r>
    </w:p>
    <w:p w:rsidR="0021496B" w:rsidRPr="00A74B1B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 xml:space="preserve">К обращениям, о выделении средств должны прилагаться документы, подтверждающие факт возникновения и (или) предупреждения на территории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 непредвиденных ра</w:t>
      </w:r>
      <w:r>
        <w:rPr>
          <w:color w:val="000000"/>
          <w:sz w:val="28"/>
          <w:szCs w:val="28"/>
        </w:rPr>
        <w:t>сходов</w:t>
      </w:r>
      <w:r w:rsidRPr="00A74B1B">
        <w:rPr>
          <w:color w:val="000000"/>
          <w:sz w:val="28"/>
          <w:szCs w:val="28"/>
        </w:rPr>
        <w:t xml:space="preserve"> и </w:t>
      </w:r>
      <w:r>
        <w:rPr>
          <w:color w:val="000000"/>
          <w:sz w:val="28"/>
          <w:szCs w:val="28"/>
        </w:rPr>
        <w:t xml:space="preserve"> финансово - </w:t>
      </w:r>
      <w:r w:rsidRPr="00A74B1B">
        <w:rPr>
          <w:color w:val="000000"/>
          <w:sz w:val="28"/>
          <w:szCs w:val="28"/>
        </w:rPr>
        <w:t xml:space="preserve">экономическое обоснование, содержащее расчеты предлагаемого к выделению </w:t>
      </w:r>
      <w:proofErr w:type="gramStart"/>
      <w:r w:rsidRPr="00A74B1B">
        <w:rPr>
          <w:color w:val="000000"/>
          <w:sz w:val="28"/>
          <w:szCs w:val="28"/>
        </w:rPr>
        <w:t>объема бюджетных ассигнований резервного фонда администрации</w:t>
      </w:r>
      <w:r>
        <w:rPr>
          <w:color w:val="000000"/>
          <w:sz w:val="28"/>
          <w:szCs w:val="28"/>
        </w:rPr>
        <w:t xml:space="preserve"> Новониколаевского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r w:rsidRPr="00A74B1B">
        <w:rPr>
          <w:color w:val="000000"/>
          <w:sz w:val="28"/>
          <w:szCs w:val="28"/>
        </w:rPr>
        <w:t>обосновывающие необходимость выделения запрашиваемых средств.</w:t>
      </w:r>
    </w:p>
    <w:p w:rsidR="0021496B" w:rsidRPr="00A74B1B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 xml:space="preserve">2.4. По результатам рассмотрения обращений и иных документов, указанных в пункте 2.3 настоящего положения комиссия по ЧС и ПБ принимает решение о целесообразности предоставления средств из резервного фонда администрации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 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либо об отсутствии целесообразности предоставления средств из резервного фонда администрации</w:t>
      </w:r>
      <w:r>
        <w:rPr>
          <w:color w:val="000000"/>
          <w:sz w:val="28"/>
          <w:szCs w:val="28"/>
        </w:rPr>
        <w:t xml:space="preserve"> 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области. Указанные решения оформляются протоколом комиссии.</w:t>
      </w:r>
    </w:p>
    <w:p w:rsidR="0021496B" w:rsidRPr="00A74B1B" w:rsidRDefault="0021496B" w:rsidP="0021496B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A74B1B">
        <w:rPr>
          <w:color w:val="000000"/>
          <w:sz w:val="28"/>
          <w:szCs w:val="28"/>
        </w:rPr>
        <w:t>2.5.В случае принятия решения о целесообразности предоставления средств из резервного фонда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 администрации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 структурным подразделением администрации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курирующим направление деятельности, изложенного в обращении, осуществляет подготовку проекта постановления администрации 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 о выделении средств из резервного фонда администрации</w:t>
      </w:r>
      <w:r>
        <w:rPr>
          <w:color w:val="000000"/>
          <w:sz w:val="28"/>
          <w:szCs w:val="28"/>
        </w:rPr>
        <w:t xml:space="preserve"> 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 с указанием </w:t>
      </w:r>
      <w:r>
        <w:rPr>
          <w:color w:val="000000"/>
          <w:sz w:val="28"/>
          <w:szCs w:val="28"/>
        </w:rPr>
        <w:lastRenderedPageBreak/>
        <w:t> получателя средств</w:t>
      </w:r>
      <w:proofErr w:type="gramEnd"/>
      <w:r>
        <w:rPr>
          <w:color w:val="000000"/>
          <w:sz w:val="28"/>
          <w:szCs w:val="28"/>
        </w:rPr>
        <w:t>, размера и целевого направления расходования  данных средств.</w:t>
      </w:r>
    </w:p>
    <w:p w:rsidR="0021496B" w:rsidRDefault="0021496B" w:rsidP="0021496B">
      <w:pPr>
        <w:ind w:firstLine="540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2.6. После издания постановления администрации</w:t>
      </w:r>
      <w:r>
        <w:rPr>
          <w:color w:val="000000"/>
          <w:sz w:val="28"/>
          <w:szCs w:val="28"/>
        </w:rPr>
        <w:t xml:space="preserve"> 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 о выделении средств вносится изменения в сводную бюджетную роспись бюджета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 на текущий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 финансовый 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год 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установленном 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порядке.</w:t>
      </w:r>
    </w:p>
    <w:p w:rsidR="0021496B" w:rsidRPr="00A74B1B" w:rsidRDefault="0021496B" w:rsidP="0021496B">
      <w:pPr>
        <w:ind w:firstLine="540"/>
        <w:jc w:val="both"/>
        <w:rPr>
          <w:color w:val="000000"/>
          <w:sz w:val="28"/>
          <w:szCs w:val="28"/>
        </w:rPr>
      </w:pPr>
    </w:p>
    <w:p w:rsidR="0021496B" w:rsidRPr="00A74B1B" w:rsidRDefault="0021496B" w:rsidP="0021496B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A74B1B">
        <w:rPr>
          <w:b/>
          <w:bCs/>
          <w:color w:val="000000"/>
          <w:sz w:val="28"/>
          <w:szCs w:val="28"/>
        </w:rPr>
        <w:t xml:space="preserve">3. </w:t>
      </w:r>
      <w:proofErr w:type="gramStart"/>
      <w:r w:rsidRPr="00A74B1B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A74B1B">
        <w:rPr>
          <w:b/>
          <w:bCs/>
          <w:color w:val="000000"/>
          <w:sz w:val="28"/>
          <w:szCs w:val="28"/>
        </w:rPr>
        <w:t xml:space="preserve"> использованием средств резервного фонда</w:t>
      </w:r>
    </w:p>
    <w:p w:rsidR="0021496B" w:rsidRPr="00A74B1B" w:rsidRDefault="0021496B" w:rsidP="0021496B">
      <w:pPr>
        <w:ind w:firstLine="540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 </w:t>
      </w:r>
    </w:p>
    <w:p w:rsidR="0021496B" w:rsidRDefault="0021496B" w:rsidP="0021496B">
      <w:pPr>
        <w:ind w:firstLine="540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3.1. При наличии остатка неиспользованных бюджетных ассигнований резервного фонда 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получатель 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бюджетных средств, которому выделены бюджетные ассигнования резервного фонда администрации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</w:t>
      </w:r>
      <w:r w:rsidRPr="00A74B1B">
        <w:rPr>
          <w:color w:val="000000"/>
          <w:sz w:val="28"/>
          <w:szCs w:val="28"/>
        </w:rPr>
        <w:t xml:space="preserve"> обязан обеспечить возврат неиспользованных бюджетных ассигнований в бюджет</w:t>
      </w:r>
      <w:r>
        <w:rPr>
          <w:color w:val="000000"/>
          <w:sz w:val="28"/>
          <w:szCs w:val="28"/>
        </w:rPr>
        <w:t xml:space="preserve"> 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 до окончания текущего финансового года.</w:t>
      </w:r>
    </w:p>
    <w:p w:rsidR="0021496B" w:rsidRDefault="0021496B" w:rsidP="002149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Pr="00A74B1B">
        <w:rPr>
          <w:color w:val="000000"/>
          <w:sz w:val="28"/>
          <w:szCs w:val="28"/>
        </w:rPr>
        <w:t xml:space="preserve"> 3.2. Получатели бюджетных средств, которым выделены бюджетные ассигнования резервного фонда 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</w:t>
      </w:r>
      <w:r w:rsidRPr="00A74B1B">
        <w:rPr>
          <w:color w:val="000000"/>
          <w:sz w:val="28"/>
          <w:szCs w:val="28"/>
        </w:rPr>
        <w:t xml:space="preserve"> несут ответственность в случае нецелевого использования этих сре</w:t>
      </w:r>
      <w:proofErr w:type="gramStart"/>
      <w:r w:rsidRPr="00A74B1B">
        <w:rPr>
          <w:color w:val="000000"/>
          <w:sz w:val="28"/>
          <w:szCs w:val="28"/>
        </w:rPr>
        <w:t>дств в с</w:t>
      </w:r>
      <w:proofErr w:type="gramEnd"/>
      <w:r w:rsidRPr="00A74B1B">
        <w:rPr>
          <w:color w:val="000000"/>
          <w:sz w:val="28"/>
          <w:szCs w:val="28"/>
        </w:rPr>
        <w:t>оответствии с действующим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 законодательством.</w:t>
      </w:r>
    </w:p>
    <w:p w:rsidR="0021496B" w:rsidRPr="00A74B1B" w:rsidRDefault="0021496B" w:rsidP="002149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Pr="00A74B1B">
        <w:rPr>
          <w:color w:val="000000"/>
          <w:sz w:val="28"/>
          <w:szCs w:val="28"/>
        </w:rPr>
        <w:t xml:space="preserve"> 3.3. </w:t>
      </w:r>
      <w:proofErr w:type="gramStart"/>
      <w:r w:rsidRPr="00A74B1B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 предоставляет в Совет депутатов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Октябрьского сельсовета  Краснозерского района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 Новосибирской области 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>,  который прилагают</w:t>
      </w:r>
      <w:r w:rsidRPr="00A74B1B">
        <w:rPr>
          <w:color w:val="000000"/>
          <w:sz w:val="28"/>
          <w:szCs w:val="28"/>
        </w:rPr>
        <w:t> к годовому отчету</w:t>
      </w:r>
      <w:r>
        <w:rPr>
          <w:color w:val="000000"/>
          <w:sz w:val="28"/>
          <w:szCs w:val="28"/>
        </w:rPr>
        <w:t xml:space="preserve">  </w:t>
      </w:r>
      <w:r w:rsidRPr="00A74B1B">
        <w:rPr>
          <w:color w:val="000000"/>
          <w:sz w:val="28"/>
          <w:szCs w:val="28"/>
        </w:rPr>
        <w:t xml:space="preserve"> об исполнении  бюджета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  согласно Приложению N 1 к настоящему Положению.</w:t>
      </w:r>
      <w:proofErr w:type="gramEnd"/>
    </w:p>
    <w:p w:rsidR="0021496B" w:rsidRDefault="0021496B" w:rsidP="0021496B">
      <w:pPr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 xml:space="preserve">3.4. </w:t>
      </w:r>
      <w:proofErr w:type="gramStart"/>
      <w:r w:rsidRPr="00A74B1B">
        <w:rPr>
          <w:color w:val="000000"/>
          <w:sz w:val="28"/>
          <w:szCs w:val="28"/>
        </w:rPr>
        <w:t>Контроль за</w:t>
      </w:r>
      <w:proofErr w:type="gramEnd"/>
      <w:r w:rsidRPr="00A74B1B">
        <w:rPr>
          <w:color w:val="000000"/>
          <w:sz w:val="28"/>
          <w:szCs w:val="28"/>
        </w:rPr>
        <w:t xml:space="preserve"> целевым использованием средств резервного </w:t>
      </w:r>
      <w:r w:rsidRPr="00762F83">
        <w:rPr>
          <w:color w:val="000000"/>
          <w:sz w:val="28"/>
          <w:szCs w:val="28"/>
        </w:rPr>
        <w:t xml:space="preserve">фонда </w:t>
      </w: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762F83">
        <w:rPr>
          <w:color w:val="000000"/>
          <w:sz w:val="28"/>
          <w:szCs w:val="28"/>
        </w:rPr>
        <w:t xml:space="preserve"> Новосибирской области  о</w:t>
      </w:r>
      <w:r>
        <w:rPr>
          <w:color w:val="000000"/>
          <w:sz w:val="28"/>
          <w:szCs w:val="28"/>
        </w:rPr>
        <w:t>существляет ревизионная комиссия</w:t>
      </w:r>
      <w:r w:rsidRPr="00762F83">
        <w:rPr>
          <w:color w:val="000000"/>
          <w:sz w:val="28"/>
          <w:szCs w:val="28"/>
        </w:rPr>
        <w:t> Краснозерского района Новосибирск</w:t>
      </w:r>
      <w:r>
        <w:rPr>
          <w:color w:val="000000"/>
          <w:sz w:val="28"/>
          <w:szCs w:val="28"/>
        </w:rPr>
        <w:t>ой области.</w:t>
      </w:r>
    </w:p>
    <w:p w:rsidR="0021496B" w:rsidRDefault="0021496B" w:rsidP="0021496B">
      <w:pPr>
        <w:ind w:firstLine="567"/>
        <w:jc w:val="both"/>
        <w:rPr>
          <w:color w:val="000000"/>
          <w:sz w:val="28"/>
          <w:szCs w:val="28"/>
        </w:rPr>
      </w:pPr>
    </w:p>
    <w:p w:rsidR="0021496B" w:rsidRDefault="0021496B" w:rsidP="0021496B">
      <w:pPr>
        <w:ind w:firstLine="567"/>
        <w:jc w:val="both"/>
        <w:rPr>
          <w:color w:val="000000"/>
          <w:sz w:val="28"/>
          <w:szCs w:val="28"/>
        </w:rPr>
      </w:pPr>
    </w:p>
    <w:p w:rsidR="0021496B" w:rsidRDefault="0021496B" w:rsidP="0021496B">
      <w:pPr>
        <w:ind w:firstLine="567"/>
        <w:jc w:val="both"/>
        <w:rPr>
          <w:color w:val="000000"/>
          <w:sz w:val="28"/>
          <w:szCs w:val="28"/>
        </w:rPr>
      </w:pPr>
    </w:p>
    <w:p w:rsidR="0021496B" w:rsidRDefault="0021496B" w:rsidP="0021496B">
      <w:pPr>
        <w:ind w:firstLine="567"/>
        <w:jc w:val="both"/>
        <w:rPr>
          <w:color w:val="000000"/>
          <w:sz w:val="28"/>
          <w:szCs w:val="28"/>
        </w:rPr>
      </w:pPr>
    </w:p>
    <w:p w:rsidR="0021496B" w:rsidRDefault="0021496B" w:rsidP="0021496B">
      <w:pPr>
        <w:ind w:firstLine="567"/>
        <w:jc w:val="both"/>
        <w:rPr>
          <w:color w:val="000000"/>
          <w:sz w:val="28"/>
          <w:szCs w:val="28"/>
        </w:rPr>
      </w:pPr>
    </w:p>
    <w:p w:rsidR="0021496B" w:rsidRDefault="0021496B" w:rsidP="0021496B">
      <w:pPr>
        <w:ind w:firstLine="567"/>
        <w:jc w:val="both"/>
        <w:rPr>
          <w:color w:val="000000"/>
          <w:sz w:val="28"/>
          <w:szCs w:val="28"/>
        </w:rPr>
      </w:pPr>
    </w:p>
    <w:p w:rsidR="0021496B" w:rsidRDefault="0021496B" w:rsidP="0021496B">
      <w:pPr>
        <w:ind w:firstLine="567"/>
        <w:jc w:val="both"/>
        <w:rPr>
          <w:color w:val="000000"/>
          <w:sz w:val="28"/>
          <w:szCs w:val="28"/>
        </w:rPr>
      </w:pPr>
    </w:p>
    <w:p w:rsidR="0021496B" w:rsidRDefault="0021496B" w:rsidP="0021496B">
      <w:pPr>
        <w:ind w:firstLine="567"/>
        <w:jc w:val="both"/>
        <w:rPr>
          <w:color w:val="000000"/>
          <w:sz w:val="28"/>
          <w:szCs w:val="28"/>
        </w:rPr>
      </w:pPr>
    </w:p>
    <w:p w:rsidR="0021496B" w:rsidRDefault="0021496B" w:rsidP="0021496B">
      <w:pPr>
        <w:ind w:firstLine="567"/>
        <w:jc w:val="both"/>
        <w:rPr>
          <w:color w:val="000000"/>
          <w:sz w:val="28"/>
          <w:szCs w:val="28"/>
        </w:rPr>
      </w:pPr>
    </w:p>
    <w:p w:rsidR="0021496B" w:rsidRDefault="0021496B" w:rsidP="0021496B">
      <w:pPr>
        <w:ind w:firstLine="567"/>
        <w:jc w:val="both"/>
        <w:rPr>
          <w:color w:val="000000"/>
          <w:sz w:val="28"/>
          <w:szCs w:val="28"/>
        </w:rPr>
      </w:pPr>
    </w:p>
    <w:p w:rsidR="0021496B" w:rsidRDefault="0021496B" w:rsidP="0021496B">
      <w:pPr>
        <w:ind w:firstLine="567"/>
        <w:jc w:val="both"/>
        <w:rPr>
          <w:color w:val="000000"/>
          <w:sz w:val="28"/>
          <w:szCs w:val="28"/>
        </w:rPr>
      </w:pPr>
    </w:p>
    <w:p w:rsidR="0021496B" w:rsidRPr="00962731" w:rsidRDefault="0021496B" w:rsidP="0021496B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</w:t>
      </w:r>
      <w:r w:rsidRPr="00962731">
        <w:rPr>
          <w:color w:val="000000"/>
        </w:rPr>
        <w:t xml:space="preserve">  Приложение 1</w:t>
      </w:r>
      <w:r>
        <w:rPr>
          <w:color w:val="000000"/>
        </w:rPr>
        <w:t xml:space="preserve"> </w:t>
      </w:r>
      <w:r w:rsidRPr="00962731">
        <w:rPr>
          <w:color w:val="000000"/>
        </w:rPr>
        <w:t>к  Положению о порядке</w:t>
      </w:r>
    </w:p>
    <w:p w:rsidR="0021496B" w:rsidRPr="00962731" w:rsidRDefault="0021496B" w:rsidP="0021496B">
      <w:pPr>
        <w:jc w:val="both"/>
        <w:rPr>
          <w:color w:val="000000"/>
        </w:rPr>
      </w:pPr>
      <w:r w:rsidRPr="00962731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</w:t>
      </w:r>
      <w:r w:rsidRPr="00962731">
        <w:rPr>
          <w:color w:val="000000"/>
        </w:rPr>
        <w:t xml:space="preserve"> использования бюджетных ассигнований</w:t>
      </w:r>
    </w:p>
    <w:p w:rsidR="0021496B" w:rsidRPr="00962731" w:rsidRDefault="0021496B" w:rsidP="0021496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962731">
        <w:rPr>
          <w:color w:val="000000"/>
        </w:rPr>
        <w:t xml:space="preserve"> резервного фонда администрации</w:t>
      </w:r>
    </w:p>
    <w:p w:rsidR="0021496B" w:rsidRPr="00962731" w:rsidRDefault="0021496B" w:rsidP="0021496B">
      <w:pPr>
        <w:jc w:val="both"/>
        <w:rPr>
          <w:color w:val="000000"/>
        </w:rPr>
      </w:pPr>
      <w:r w:rsidRPr="00962731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</w:t>
      </w:r>
      <w:r w:rsidRPr="00962731">
        <w:rPr>
          <w:color w:val="000000"/>
        </w:rPr>
        <w:t xml:space="preserve"> </w:t>
      </w:r>
    </w:p>
    <w:p w:rsidR="0021496B" w:rsidRPr="00A74B1B" w:rsidRDefault="0021496B" w:rsidP="0021496B">
      <w:pPr>
        <w:jc w:val="both"/>
        <w:rPr>
          <w:color w:val="000000"/>
          <w:sz w:val="28"/>
          <w:szCs w:val="28"/>
        </w:rPr>
      </w:pPr>
    </w:p>
    <w:p w:rsidR="0021496B" w:rsidRPr="00A74B1B" w:rsidRDefault="0021496B" w:rsidP="0021496B">
      <w:pPr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ОТЧЕТ об использовании средств резервного фонда администрации</w:t>
      </w:r>
    </w:p>
    <w:p w:rsidR="0021496B" w:rsidRPr="00A74B1B" w:rsidRDefault="0021496B" w:rsidP="002149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Новониколаевского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74B1B">
        <w:rPr>
          <w:color w:val="000000"/>
          <w:sz w:val="28"/>
          <w:szCs w:val="28"/>
        </w:rPr>
        <w:t xml:space="preserve"> Новосибирской области </w:t>
      </w:r>
    </w:p>
    <w:p w:rsidR="0021496B" w:rsidRPr="00A74B1B" w:rsidRDefault="0021496B" w:rsidP="0021496B">
      <w:pPr>
        <w:rPr>
          <w:color w:val="000000"/>
          <w:sz w:val="28"/>
          <w:szCs w:val="28"/>
        </w:rPr>
      </w:pPr>
    </w:p>
    <w:tbl>
      <w:tblPr>
        <w:tblStyle w:val="ac"/>
        <w:tblW w:w="9585" w:type="dxa"/>
        <w:tblLayout w:type="fixed"/>
        <w:tblLook w:val="04A0"/>
      </w:tblPr>
      <w:tblGrid>
        <w:gridCol w:w="1809"/>
        <w:gridCol w:w="1560"/>
        <w:gridCol w:w="1275"/>
        <w:gridCol w:w="1560"/>
        <w:gridCol w:w="1559"/>
        <w:gridCol w:w="1822"/>
      </w:tblGrid>
      <w:tr w:rsidR="0021496B" w:rsidRPr="00A74B1B" w:rsidTr="00013B18">
        <w:tc>
          <w:tcPr>
            <w:tcW w:w="1809" w:type="dxa"/>
          </w:tcPr>
          <w:p w:rsidR="0021496B" w:rsidRPr="00CC0A21" w:rsidRDefault="0021496B" w:rsidP="00013B18">
            <w:pPr>
              <w:rPr>
                <w:color w:val="000000"/>
                <w:sz w:val="24"/>
                <w:szCs w:val="24"/>
              </w:rPr>
            </w:pPr>
            <w:r w:rsidRPr="00CC0A21">
              <w:rPr>
                <w:color w:val="000000"/>
                <w:sz w:val="24"/>
                <w:szCs w:val="24"/>
              </w:rPr>
              <w:t>Наименование получателя средств резервного фонда</w:t>
            </w:r>
          </w:p>
        </w:tc>
        <w:tc>
          <w:tcPr>
            <w:tcW w:w="1560" w:type="dxa"/>
          </w:tcPr>
          <w:p w:rsidR="0021496B" w:rsidRPr="00CC0A21" w:rsidRDefault="0021496B" w:rsidP="00013B18">
            <w:pPr>
              <w:rPr>
                <w:color w:val="000000"/>
                <w:sz w:val="24"/>
                <w:szCs w:val="24"/>
              </w:rPr>
            </w:pPr>
            <w:r w:rsidRPr="00CC0A21">
              <w:rPr>
                <w:color w:val="000000"/>
                <w:sz w:val="24"/>
                <w:szCs w:val="24"/>
              </w:rPr>
              <w:t>Распорядительный документ, его номер и дата</w:t>
            </w:r>
          </w:p>
        </w:tc>
        <w:tc>
          <w:tcPr>
            <w:tcW w:w="1275" w:type="dxa"/>
          </w:tcPr>
          <w:p w:rsidR="0021496B" w:rsidRPr="00CC0A21" w:rsidRDefault="0021496B" w:rsidP="00013B18">
            <w:pPr>
              <w:rPr>
                <w:color w:val="000000"/>
                <w:sz w:val="24"/>
                <w:szCs w:val="24"/>
              </w:rPr>
            </w:pPr>
            <w:r w:rsidRPr="00CC0A21">
              <w:rPr>
                <w:color w:val="000000"/>
                <w:sz w:val="24"/>
                <w:szCs w:val="24"/>
              </w:rPr>
              <w:t>Цели расходования средств</w:t>
            </w:r>
          </w:p>
        </w:tc>
        <w:tc>
          <w:tcPr>
            <w:tcW w:w="1560" w:type="dxa"/>
          </w:tcPr>
          <w:p w:rsidR="0021496B" w:rsidRPr="00CC0A21" w:rsidRDefault="0021496B" w:rsidP="00013B18">
            <w:pPr>
              <w:rPr>
                <w:color w:val="000000"/>
                <w:sz w:val="24"/>
                <w:szCs w:val="24"/>
              </w:rPr>
            </w:pPr>
            <w:r w:rsidRPr="00CC0A21">
              <w:rPr>
                <w:color w:val="000000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1559" w:type="dxa"/>
          </w:tcPr>
          <w:p w:rsidR="0021496B" w:rsidRPr="00CC0A21" w:rsidRDefault="0021496B" w:rsidP="00013B18">
            <w:pPr>
              <w:rPr>
                <w:color w:val="000000"/>
                <w:sz w:val="24"/>
                <w:szCs w:val="24"/>
              </w:rPr>
            </w:pPr>
            <w:r w:rsidRPr="00CC0A21">
              <w:rPr>
                <w:color w:val="000000"/>
                <w:sz w:val="24"/>
                <w:szCs w:val="24"/>
              </w:rPr>
              <w:t>Сумма израсходованных средств</w:t>
            </w:r>
          </w:p>
        </w:tc>
        <w:tc>
          <w:tcPr>
            <w:tcW w:w="1822" w:type="dxa"/>
          </w:tcPr>
          <w:p w:rsidR="0021496B" w:rsidRPr="00CC0A21" w:rsidRDefault="0021496B" w:rsidP="00013B18">
            <w:pPr>
              <w:rPr>
                <w:color w:val="000000"/>
                <w:sz w:val="24"/>
                <w:szCs w:val="24"/>
              </w:rPr>
            </w:pPr>
            <w:r w:rsidRPr="00CC0A21">
              <w:rPr>
                <w:color w:val="000000"/>
                <w:sz w:val="24"/>
                <w:szCs w:val="24"/>
              </w:rPr>
              <w:t>Неиспользованный остаток средств</w:t>
            </w:r>
          </w:p>
        </w:tc>
      </w:tr>
      <w:tr w:rsidR="0021496B" w:rsidRPr="00A74B1B" w:rsidTr="00013B18">
        <w:tc>
          <w:tcPr>
            <w:tcW w:w="1809" w:type="dxa"/>
          </w:tcPr>
          <w:p w:rsidR="0021496B" w:rsidRPr="00A74B1B" w:rsidRDefault="0021496B" w:rsidP="00013B18">
            <w:pPr>
              <w:jc w:val="center"/>
              <w:rPr>
                <w:color w:val="000000"/>
                <w:sz w:val="28"/>
                <w:szCs w:val="28"/>
              </w:rPr>
            </w:pPr>
            <w:r w:rsidRPr="00A74B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496B" w:rsidRPr="00A74B1B" w:rsidRDefault="0021496B" w:rsidP="00013B18">
            <w:pPr>
              <w:jc w:val="center"/>
              <w:rPr>
                <w:color w:val="000000"/>
                <w:sz w:val="28"/>
                <w:szCs w:val="28"/>
              </w:rPr>
            </w:pPr>
            <w:r w:rsidRPr="00A74B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1496B" w:rsidRPr="00A74B1B" w:rsidRDefault="0021496B" w:rsidP="00013B18">
            <w:pPr>
              <w:jc w:val="center"/>
              <w:rPr>
                <w:color w:val="000000"/>
                <w:sz w:val="28"/>
                <w:szCs w:val="28"/>
              </w:rPr>
            </w:pPr>
            <w:r w:rsidRPr="00A74B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1496B" w:rsidRPr="00A74B1B" w:rsidRDefault="0021496B" w:rsidP="00013B18">
            <w:pPr>
              <w:jc w:val="center"/>
              <w:rPr>
                <w:color w:val="000000"/>
                <w:sz w:val="28"/>
                <w:szCs w:val="28"/>
              </w:rPr>
            </w:pPr>
            <w:r w:rsidRPr="00A74B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1496B" w:rsidRPr="00A74B1B" w:rsidRDefault="0021496B" w:rsidP="00013B18">
            <w:pPr>
              <w:jc w:val="center"/>
              <w:rPr>
                <w:color w:val="000000"/>
                <w:sz w:val="28"/>
                <w:szCs w:val="28"/>
              </w:rPr>
            </w:pPr>
            <w:r w:rsidRPr="00A74B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:rsidR="0021496B" w:rsidRPr="00A74B1B" w:rsidRDefault="0021496B" w:rsidP="00013B18">
            <w:pPr>
              <w:jc w:val="center"/>
              <w:rPr>
                <w:color w:val="000000"/>
                <w:sz w:val="28"/>
                <w:szCs w:val="28"/>
              </w:rPr>
            </w:pPr>
            <w:r w:rsidRPr="00A74B1B">
              <w:rPr>
                <w:color w:val="000000"/>
                <w:sz w:val="28"/>
                <w:szCs w:val="28"/>
              </w:rPr>
              <w:t>6</w:t>
            </w:r>
          </w:p>
        </w:tc>
      </w:tr>
      <w:tr w:rsidR="0021496B" w:rsidRPr="00A74B1B" w:rsidTr="00013B18">
        <w:tc>
          <w:tcPr>
            <w:tcW w:w="1809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</w:tr>
      <w:tr w:rsidR="0021496B" w:rsidRPr="00A74B1B" w:rsidTr="00013B18">
        <w:tc>
          <w:tcPr>
            <w:tcW w:w="1809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</w:tr>
      <w:tr w:rsidR="0021496B" w:rsidRPr="00A74B1B" w:rsidTr="00013B18">
        <w:tc>
          <w:tcPr>
            <w:tcW w:w="1809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  <w:r w:rsidRPr="00A74B1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</w:tcPr>
          <w:p w:rsidR="0021496B" w:rsidRPr="00A74B1B" w:rsidRDefault="0021496B" w:rsidP="00013B1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1496B" w:rsidRPr="00A74B1B" w:rsidRDefault="0021496B" w:rsidP="0021496B">
      <w:pPr>
        <w:rPr>
          <w:color w:val="000000"/>
          <w:sz w:val="28"/>
          <w:szCs w:val="28"/>
        </w:rPr>
      </w:pPr>
    </w:p>
    <w:p w:rsidR="0021496B" w:rsidRPr="00A74B1B" w:rsidRDefault="0021496B" w:rsidP="0021496B">
      <w:pPr>
        <w:rPr>
          <w:color w:val="000000"/>
          <w:sz w:val="28"/>
          <w:szCs w:val="28"/>
        </w:rPr>
      </w:pPr>
    </w:p>
    <w:p w:rsidR="0021496B" w:rsidRPr="00A74B1B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> </w:t>
      </w:r>
    </w:p>
    <w:p w:rsidR="0021496B" w:rsidRPr="00A74B1B" w:rsidRDefault="0021496B" w:rsidP="0021496B">
      <w:pPr>
        <w:ind w:firstLine="567"/>
        <w:jc w:val="both"/>
        <w:rPr>
          <w:color w:val="000000"/>
          <w:sz w:val="28"/>
          <w:szCs w:val="28"/>
        </w:rPr>
      </w:pPr>
      <w:r w:rsidRPr="00A74B1B">
        <w:rPr>
          <w:color w:val="000000"/>
          <w:sz w:val="28"/>
          <w:szCs w:val="28"/>
        </w:rPr>
        <w:t xml:space="preserve">&lt;*&gt;  В    примечании  указывается причина, дата возврата неиспользованных средств  резервного фонда в  местный  бюджет, номер платежного документа  и 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A74B1B">
        <w:rPr>
          <w:color w:val="000000"/>
          <w:sz w:val="28"/>
          <w:szCs w:val="28"/>
        </w:rPr>
        <w:t xml:space="preserve"> далее</w:t>
      </w:r>
    </w:p>
    <w:p w:rsidR="0021496B" w:rsidRPr="00A74B1B" w:rsidRDefault="0021496B" w:rsidP="0021496B">
      <w:pPr>
        <w:rPr>
          <w:color w:val="000000"/>
          <w:sz w:val="28"/>
          <w:szCs w:val="28"/>
        </w:rPr>
      </w:pPr>
    </w:p>
    <w:p w:rsidR="0021496B" w:rsidRPr="00A74B1B" w:rsidRDefault="0021496B" w:rsidP="0021496B">
      <w:pPr>
        <w:rPr>
          <w:color w:val="000000"/>
          <w:sz w:val="28"/>
          <w:szCs w:val="28"/>
        </w:rPr>
      </w:pPr>
    </w:p>
    <w:p w:rsidR="0021496B" w:rsidRPr="00A74B1B" w:rsidRDefault="0021496B" w:rsidP="0021496B">
      <w:pPr>
        <w:rPr>
          <w:color w:val="000000"/>
          <w:sz w:val="28"/>
          <w:szCs w:val="28"/>
        </w:rPr>
      </w:pPr>
    </w:p>
    <w:p w:rsidR="0021496B" w:rsidRPr="00A74B1B" w:rsidRDefault="0021496B" w:rsidP="0021496B">
      <w:pPr>
        <w:rPr>
          <w:color w:val="000000"/>
          <w:sz w:val="28"/>
          <w:szCs w:val="28"/>
        </w:rPr>
      </w:pPr>
    </w:p>
    <w:p w:rsidR="0021496B" w:rsidRPr="00A74B1B" w:rsidRDefault="0021496B" w:rsidP="0021496B">
      <w:pPr>
        <w:rPr>
          <w:color w:val="000000"/>
          <w:sz w:val="28"/>
          <w:szCs w:val="28"/>
        </w:rPr>
      </w:pPr>
    </w:p>
    <w:p w:rsidR="0021496B" w:rsidRPr="00A74B1B" w:rsidRDefault="0021496B" w:rsidP="0021496B">
      <w:pPr>
        <w:rPr>
          <w:color w:val="000000"/>
          <w:sz w:val="28"/>
          <w:szCs w:val="28"/>
        </w:rPr>
      </w:pPr>
    </w:p>
    <w:p w:rsidR="0021496B" w:rsidRPr="00A74B1B" w:rsidRDefault="0021496B" w:rsidP="0021496B">
      <w:pPr>
        <w:rPr>
          <w:color w:val="000000"/>
          <w:sz w:val="28"/>
          <w:szCs w:val="28"/>
        </w:rPr>
      </w:pPr>
    </w:p>
    <w:p w:rsidR="0021496B" w:rsidRPr="00A74B1B" w:rsidRDefault="0021496B" w:rsidP="0021496B">
      <w:pPr>
        <w:rPr>
          <w:color w:val="000000"/>
          <w:sz w:val="28"/>
          <w:szCs w:val="28"/>
        </w:rPr>
      </w:pPr>
    </w:p>
    <w:p w:rsidR="0021496B" w:rsidRPr="00A74B1B" w:rsidRDefault="0021496B" w:rsidP="0021496B">
      <w:pPr>
        <w:rPr>
          <w:color w:val="000000"/>
          <w:sz w:val="28"/>
          <w:szCs w:val="28"/>
        </w:rPr>
      </w:pPr>
    </w:p>
    <w:p w:rsidR="0021496B" w:rsidRDefault="0021496B" w:rsidP="0021496B">
      <w:pPr>
        <w:rPr>
          <w:rFonts w:ascii="Arial" w:hAnsi="Arial" w:cs="Arial"/>
          <w:color w:val="000000"/>
        </w:rPr>
      </w:pPr>
    </w:p>
    <w:p w:rsidR="0021496B" w:rsidRDefault="0021496B" w:rsidP="0021496B">
      <w:pPr>
        <w:rPr>
          <w:rFonts w:ascii="Arial" w:hAnsi="Arial" w:cs="Arial"/>
          <w:color w:val="000000"/>
        </w:rPr>
      </w:pPr>
    </w:p>
    <w:p w:rsidR="0021496B" w:rsidRDefault="0021496B" w:rsidP="0021496B">
      <w:pPr>
        <w:rPr>
          <w:rFonts w:ascii="Arial" w:hAnsi="Arial" w:cs="Arial"/>
          <w:color w:val="000000"/>
        </w:rPr>
      </w:pPr>
    </w:p>
    <w:p w:rsidR="0021496B" w:rsidRDefault="0021496B" w:rsidP="0021496B">
      <w:pPr>
        <w:rPr>
          <w:rFonts w:ascii="Arial" w:hAnsi="Arial" w:cs="Arial"/>
          <w:color w:val="000000"/>
        </w:rPr>
      </w:pPr>
    </w:p>
    <w:p w:rsidR="0021496B" w:rsidRDefault="0021496B" w:rsidP="0021496B">
      <w:pPr>
        <w:rPr>
          <w:rFonts w:ascii="Arial" w:hAnsi="Arial" w:cs="Arial"/>
          <w:color w:val="000000"/>
        </w:rPr>
      </w:pPr>
    </w:p>
    <w:p w:rsidR="0021496B" w:rsidRDefault="0021496B" w:rsidP="0021496B">
      <w:pPr>
        <w:rPr>
          <w:rFonts w:ascii="Arial" w:hAnsi="Arial" w:cs="Arial"/>
          <w:color w:val="000000"/>
        </w:rPr>
      </w:pPr>
    </w:p>
    <w:p w:rsidR="0021496B" w:rsidRPr="002349BC" w:rsidRDefault="0021496B" w:rsidP="0021496B">
      <w:r w:rsidRPr="002349BC">
        <w:rPr>
          <w:rFonts w:ascii="Arial" w:hAnsi="Arial" w:cs="Arial"/>
          <w:color w:val="000000"/>
        </w:rPr>
        <w:br w:type="textWrapping" w:clear="all"/>
      </w:r>
    </w:p>
    <w:p w:rsidR="0021496B" w:rsidRPr="002349BC" w:rsidRDefault="0021496B" w:rsidP="0021496B">
      <w:pPr>
        <w:ind w:firstLine="567"/>
        <w:jc w:val="both"/>
        <w:rPr>
          <w:rFonts w:ascii="Arial" w:hAnsi="Arial" w:cs="Arial"/>
          <w:color w:val="000000"/>
        </w:rPr>
      </w:pPr>
      <w:r w:rsidRPr="002349BC">
        <w:rPr>
          <w:rFonts w:ascii="Arial" w:hAnsi="Arial" w:cs="Arial"/>
          <w:color w:val="000000"/>
        </w:rPr>
        <w:t> </w:t>
      </w:r>
    </w:p>
    <w:p w:rsidR="0021496B" w:rsidRDefault="0021496B" w:rsidP="0021496B">
      <w:pPr>
        <w:rPr>
          <w:rFonts w:ascii="Arial" w:hAnsi="Arial" w:cs="Arial"/>
          <w:color w:val="000000"/>
        </w:rPr>
      </w:pPr>
    </w:p>
    <w:p w:rsidR="0021496B" w:rsidRDefault="0021496B" w:rsidP="0021496B"/>
    <w:p w:rsidR="00620508" w:rsidRDefault="00620508" w:rsidP="0021496B">
      <w:pPr>
        <w:ind w:left="10490"/>
      </w:pPr>
    </w:p>
    <w:sectPr w:rsidR="00620508" w:rsidSect="00CB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27" w:rsidRDefault="00286027" w:rsidP="00E86CFD">
      <w:r>
        <w:separator/>
      </w:r>
    </w:p>
  </w:endnote>
  <w:endnote w:type="continuationSeparator" w:id="1">
    <w:p w:rsidR="00286027" w:rsidRDefault="00286027" w:rsidP="00E8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27" w:rsidRDefault="00286027" w:rsidP="00E86CFD">
      <w:r>
        <w:separator/>
      </w:r>
    </w:p>
  </w:footnote>
  <w:footnote w:type="continuationSeparator" w:id="1">
    <w:p w:rsidR="00286027" w:rsidRDefault="00286027" w:rsidP="00E86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186"/>
    <w:multiLevelType w:val="hybridMultilevel"/>
    <w:tmpl w:val="EFD2D974"/>
    <w:lvl w:ilvl="0" w:tplc="0216601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661A1"/>
    <w:multiLevelType w:val="hybridMultilevel"/>
    <w:tmpl w:val="0B74C9F6"/>
    <w:lvl w:ilvl="0" w:tplc="0100B9D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CFD"/>
    <w:rsid w:val="00082F01"/>
    <w:rsid w:val="001E4553"/>
    <w:rsid w:val="0021496B"/>
    <w:rsid w:val="00224C4B"/>
    <w:rsid w:val="002328EE"/>
    <w:rsid w:val="00286027"/>
    <w:rsid w:val="00290D5B"/>
    <w:rsid w:val="0031109A"/>
    <w:rsid w:val="00341976"/>
    <w:rsid w:val="0037669F"/>
    <w:rsid w:val="003D22BD"/>
    <w:rsid w:val="004617FE"/>
    <w:rsid w:val="00550159"/>
    <w:rsid w:val="005E576A"/>
    <w:rsid w:val="00620508"/>
    <w:rsid w:val="00727C31"/>
    <w:rsid w:val="008102CB"/>
    <w:rsid w:val="00812F60"/>
    <w:rsid w:val="008345B0"/>
    <w:rsid w:val="00861010"/>
    <w:rsid w:val="0096238E"/>
    <w:rsid w:val="00A03996"/>
    <w:rsid w:val="00AB4616"/>
    <w:rsid w:val="00B32F50"/>
    <w:rsid w:val="00C41010"/>
    <w:rsid w:val="00C6028A"/>
    <w:rsid w:val="00D26337"/>
    <w:rsid w:val="00D633D8"/>
    <w:rsid w:val="00DA7097"/>
    <w:rsid w:val="00E86CFD"/>
    <w:rsid w:val="00F3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6CFD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86CFD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CF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CFD"/>
    <w:rPr>
      <w:rFonts w:ascii="Arial" w:eastAsia="Arial" w:hAnsi="Arial" w:cs="Arial"/>
      <w:sz w:val="30"/>
      <w:szCs w:val="30"/>
    </w:rPr>
  </w:style>
  <w:style w:type="paragraph" w:customStyle="1" w:styleId="ConsPlusNormal">
    <w:name w:val="ConsPlusNormal"/>
    <w:rsid w:val="00E86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C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6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6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6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a"/>
    <w:uiPriority w:val="99"/>
    <w:semiHidden/>
    <w:rsid w:val="00E86CFD"/>
    <w:rPr>
      <w:sz w:val="18"/>
    </w:rPr>
  </w:style>
  <w:style w:type="paragraph" w:styleId="aa">
    <w:name w:val="footnote text"/>
    <w:basedOn w:val="a"/>
    <w:link w:val="a9"/>
    <w:uiPriority w:val="99"/>
    <w:semiHidden/>
    <w:unhideWhenUsed/>
    <w:rsid w:val="00E86CFD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Default">
    <w:name w:val="Default"/>
    <w:rsid w:val="00E86CF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basedOn w:val="a0"/>
    <w:uiPriority w:val="99"/>
    <w:unhideWhenUsed/>
    <w:rsid w:val="00E86CFD"/>
    <w:rPr>
      <w:vertAlign w:val="superscript"/>
    </w:rPr>
  </w:style>
  <w:style w:type="table" w:styleId="ac">
    <w:name w:val="Table Grid"/>
    <w:basedOn w:val="a1"/>
    <w:uiPriority w:val="59"/>
    <w:rsid w:val="00E86C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86CFD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E86CFD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E86CF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0">
    <w:name w:val="annotation reference"/>
    <w:rsid w:val="00E86CF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2024-05-16T03:58:00Z</dcterms:created>
  <dcterms:modified xsi:type="dcterms:W3CDTF">2024-05-16T09:27:00Z</dcterms:modified>
</cp:coreProperties>
</file>